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CE" w:rsidRDefault="00211DCE" w:rsidP="00211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Спортивный менеджмент и маркетинг</w:t>
      </w:r>
    </w:p>
    <w:p w:rsidR="00211DCE" w:rsidRDefault="00211DCE" w:rsidP="00211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211DCE" w:rsidTr="00211DCE">
        <w:tc>
          <w:tcPr>
            <w:tcW w:w="3936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409" w:type="dxa"/>
          </w:tcPr>
          <w:p w:rsidR="00211DCE" w:rsidRDefault="00211DCE" w:rsidP="0021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211DCE" w:rsidRDefault="00211DCE" w:rsidP="0021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высшего образования</w:t>
            </w:r>
          </w:p>
          <w:p w:rsidR="00211DCE" w:rsidRDefault="00211DCE" w:rsidP="0021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1-03 02 01 01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Специальная подготовка,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Физкультурно-оздоровительная и туристско-рекреационная деятельност</w:t>
            </w:r>
            <w:r w:rsidRPr="0022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211DCE" w:rsidRPr="00A95100" w:rsidRDefault="00211DCE" w:rsidP="0021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 учреждения высшего образования</w:t>
            </w:r>
          </w:p>
        </w:tc>
      </w:tr>
      <w:tr w:rsidR="00211DCE" w:rsidTr="00211DCE">
        <w:tc>
          <w:tcPr>
            <w:tcW w:w="3936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409" w:type="dxa"/>
          </w:tcPr>
          <w:p w:rsidR="00211DCE" w:rsidRPr="00AC6D70" w:rsidRDefault="00211DCE" w:rsidP="0021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FDF">
              <w:rPr>
                <w:rFonts w:ascii="Times New Roman" w:hAnsi="Times New Roman" w:cs="Times New Roman"/>
                <w:sz w:val="28"/>
                <w:szCs w:val="28"/>
              </w:rPr>
              <w:t>Спортивный менеджмент: сущность, цели и задачи, терминология.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FDF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основы управления физической культурой и спортом.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FDF">
              <w:rPr>
                <w:rFonts w:ascii="Times New Roman" w:hAnsi="Times New Roman" w:cs="Times New Roman"/>
                <w:sz w:val="28"/>
                <w:szCs w:val="28"/>
              </w:rPr>
              <w:t>Методология и практика современного спортивного менеджмента и маркетинга.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FDF">
              <w:rPr>
                <w:rFonts w:ascii="Times New Roman" w:hAnsi="Times New Roman" w:cs="Times New Roman"/>
                <w:sz w:val="28"/>
                <w:szCs w:val="28"/>
              </w:rPr>
              <w:t>Методология и практика спортивного маркетинга.</w:t>
            </w:r>
          </w:p>
        </w:tc>
      </w:tr>
      <w:tr w:rsidR="00211DCE" w:rsidTr="00211DCE">
        <w:tc>
          <w:tcPr>
            <w:tcW w:w="3936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5409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изированная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62B5E">
              <w:rPr>
                <w:rFonts w:ascii="Times New Roman" w:hAnsi="Times New Roman" w:cs="Times New Roman"/>
                <w:sz w:val="28"/>
                <w:szCs w:val="28"/>
              </w:rPr>
              <w:t>владеть методами управления предприятиями в сфере физической культуры и спорта, разрабатывать маркетинговые стратегии организаций физической культуры и спорта, осуществлять мероприятия, направленные на их реализацию</w:t>
            </w:r>
          </w:p>
        </w:tc>
      </w:tr>
      <w:tr w:rsidR="00211DCE" w:rsidTr="00211DCE">
        <w:tc>
          <w:tcPr>
            <w:tcW w:w="3936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5409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физической культуры и спорта. </w:t>
            </w:r>
          </w:p>
        </w:tc>
      </w:tr>
      <w:tr w:rsidR="00211DCE" w:rsidTr="00211DCE">
        <w:tc>
          <w:tcPr>
            <w:tcW w:w="3936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5409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зачетные единицы, 90 академических часов (40 аудиторных, 50– самостоятельная работа).</w:t>
            </w:r>
          </w:p>
        </w:tc>
      </w:tr>
      <w:tr w:rsidR="00211DCE" w:rsidTr="00211DCE">
        <w:tc>
          <w:tcPr>
            <w:tcW w:w="3936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5409" w:type="dxa"/>
          </w:tcPr>
          <w:p w:rsidR="00211DCE" w:rsidRDefault="00211DCE" w:rsidP="00211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8-й семестры: практические и контрольные нормативы, зачет</w:t>
            </w:r>
          </w:p>
        </w:tc>
      </w:tr>
    </w:tbl>
    <w:p w:rsidR="00211DCE" w:rsidRDefault="00211DCE" w:rsidP="00211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CE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1DCE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0F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38F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094C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0ECA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1D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1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2022-10-15T08:56:00Z</dcterms:created>
  <dcterms:modified xsi:type="dcterms:W3CDTF">2022-10-15T08:57:00Z</dcterms:modified>
</cp:coreProperties>
</file>